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418" w:rsidRPr="00273283" w:rsidRDefault="00EC78A0" w:rsidP="00EC78A0">
      <w:pPr>
        <w:jc w:val="center"/>
        <w:rPr>
          <w:b/>
          <w:sz w:val="32"/>
          <w:szCs w:val="32"/>
        </w:rPr>
      </w:pPr>
      <w:r w:rsidRPr="00273283">
        <w:rPr>
          <w:b/>
          <w:sz w:val="32"/>
          <w:szCs w:val="32"/>
        </w:rPr>
        <w:t>NUMARA TAHSİS KILAVUZU</w:t>
      </w:r>
    </w:p>
    <w:p w:rsidR="00EC78A0" w:rsidRDefault="00EC78A0" w:rsidP="00EC78A0">
      <w:pPr>
        <w:jc w:val="center"/>
      </w:pPr>
    </w:p>
    <w:p w:rsidR="00EC78A0" w:rsidRDefault="00EC78A0" w:rsidP="00EC78A0">
      <w:pPr>
        <w:jc w:val="both"/>
      </w:pPr>
      <w:r>
        <w:t>Elektronik haberleşme sektöründe, Kurum tarafından yetkilendirilen işletmecilerin numaraları kullanabilmesi ve abonelerine tahsis edebilmesi için söz konusu numaraların Kurum tarafından ilgili işletmeciye tahsis edilmiş olması gerekmektedir. Numara tahsis süreci</w:t>
      </w:r>
      <w:r w:rsidR="002F1D2D">
        <w:t>,</w:t>
      </w:r>
      <w:r>
        <w:t xml:space="preserve"> tahsis başvurusu, kullanım hakkı ücretinin ödenmesi ve tahsisin gerçekleşmesi şeklinde üç ana işlemden oluşmaktadır.</w:t>
      </w:r>
    </w:p>
    <w:p w:rsidR="00200682" w:rsidRDefault="00200682" w:rsidP="00EC78A0">
      <w:pPr>
        <w:jc w:val="both"/>
      </w:pPr>
    </w:p>
    <w:p w:rsidR="00EC78A0" w:rsidRPr="00273283" w:rsidRDefault="00EC78A0" w:rsidP="00EC78A0">
      <w:pPr>
        <w:pStyle w:val="ListeParagraf"/>
        <w:numPr>
          <w:ilvl w:val="0"/>
          <w:numId w:val="1"/>
        </w:numPr>
        <w:jc w:val="both"/>
        <w:rPr>
          <w:b/>
          <w:sz w:val="28"/>
          <w:szCs w:val="28"/>
        </w:rPr>
      </w:pPr>
      <w:r w:rsidRPr="00273283">
        <w:rPr>
          <w:b/>
          <w:sz w:val="28"/>
          <w:szCs w:val="28"/>
        </w:rPr>
        <w:t>Numara kullanım hakkı tahsis başvurusu</w:t>
      </w:r>
    </w:p>
    <w:p w:rsidR="00EC78A0" w:rsidRDefault="00200B08" w:rsidP="00EC78A0">
      <w:pPr>
        <w:jc w:val="both"/>
      </w:pPr>
      <w:r w:rsidRPr="00200B08">
        <w:t>27</w:t>
      </w:r>
      <w:r>
        <w:t>/6/</w:t>
      </w:r>
      <w:r w:rsidRPr="00200B08">
        <w:t>2009 tarih</w:t>
      </w:r>
      <w:r>
        <w:t>li</w:t>
      </w:r>
      <w:r w:rsidRPr="00200B08">
        <w:t xml:space="preserve"> ve 27271</w:t>
      </w:r>
      <w:r>
        <w:t xml:space="preserve"> </w:t>
      </w:r>
      <w:r w:rsidRPr="00200B08">
        <w:t xml:space="preserve">sayılı Resmi </w:t>
      </w:r>
      <w:proofErr w:type="spellStart"/>
      <w:r w:rsidRPr="00200B08">
        <w:t>Gazete</w:t>
      </w:r>
      <w:r>
        <w:t>’de</w:t>
      </w:r>
      <w:proofErr w:type="spellEnd"/>
      <w:r>
        <w:t xml:space="preserve"> yayımlanan Numaralandırma Yönetmeliği’nin “</w:t>
      </w:r>
      <w:r w:rsidRPr="00200B08">
        <w:t>Numara tahsis başvurusu</w:t>
      </w:r>
      <w:r>
        <w:t>” başlıklı 7. maddesin</w:t>
      </w:r>
      <w:r w:rsidR="00041C68">
        <w:t>in birinci fıkrasında</w:t>
      </w:r>
      <w:r>
        <w:t>;</w:t>
      </w:r>
    </w:p>
    <w:p w:rsidR="00200B08" w:rsidRPr="00200B08" w:rsidRDefault="00200B08" w:rsidP="00EC78A0">
      <w:pPr>
        <w:jc w:val="both"/>
        <w:rPr>
          <w:i/>
        </w:rPr>
      </w:pPr>
      <w:r w:rsidRPr="00200B08">
        <w:rPr>
          <w:i/>
        </w:rPr>
        <w:t>“Numara tahsisi için işletmeciler veya işletmeci adayları başvurabilir. İhale usulü ile yapılacak yetkilendirmelerde, yetkilendirme mevzuatı hükümleri çerçevesinde gerekli işlemler yapılır.”</w:t>
      </w:r>
    </w:p>
    <w:p w:rsidR="00200B08" w:rsidRDefault="00200B08" w:rsidP="00200B08">
      <w:pPr>
        <w:jc w:val="both"/>
      </w:pPr>
      <w:proofErr w:type="gramStart"/>
      <w:r>
        <w:t>hükmü</w:t>
      </w:r>
      <w:proofErr w:type="gramEnd"/>
      <w:r>
        <w:t xml:space="preserve"> ve “</w:t>
      </w:r>
      <w:r w:rsidRPr="00200B08">
        <w:t>Başvurunun yapılması</w:t>
      </w:r>
      <w:r>
        <w:t>” başlıklı 8. maddesinde;</w:t>
      </w:r>
    </w:p>
    <w:p w:rsidR="00200B08" w:rsidRPr="00200B08" w:rsidRDefault="00041C68" w:rsidP="00200B08">
      <w:pPr>
        <w:jc w:val="both"/>
        <w:rPr>
          <w:i/>
        </w:rPr>
      </w:pPr>
      <w:r>
        <w:rPr>
          <w:i/>
        </w:rPr>
        <w:t>“</w:t>
      </w:r>
      <w:r w:rsidR="00200B08" w:rsidRPr="00200B08">
        <w:rPr>
          <w:i/>
        </w:rPr>
        <w:t>(1) Başvurunun yapılmasına ilişkin hususlar aşağıda belirtilmiştir:</w:t>
      </w:r>
    </w:p>
    <w:p w:rsidR="00200B08" w:rsidRPr="00200B08" w:rsidRDefault="00200B08" w:rsidP="00200B08">
      <w:pPr>
        <w:jc w:val="both"/>
        <w:rPr>
          <w:i/>
        </w:rPr>
      </w:pPr>
      <w:r w:rsidRPr="00200B08">
        <w:rPr>
          <w:i/>
        </w:rPr>
        <w:t xml:space="preserve">a) Yetkilendirme ile birlikte başvuru: Numara tahsisi gerektiren bir elektronik haberleşme hizmeti sunmak ve/veya şebekesi veya altyapısını kurmak ve işletmek üzere ilgili mevzuata uygun olarak Kuruma başvuruda bulunanlar, talep edilen numara kaynağına göre bu Yönetmeliğin ekinde yer alan ilgili başvuru formunu da doldurur. Yetkilendirme başvurusu ile birlikte yapılacak numara tahsis başvuruları bu Yönetmelik hükümleri çerçevesinde yetkilendirme başvuruları ile paralel olarak değerlendirilir. </w:t>
      </w:r>
    </w:p>
    <w:p w:rsidR="00200B08" w:rsidRPr="00200B08" w:rsidRDefault="00200B08" w:rsidP="00200B08">
      <w:pPr>
        <w:jc w:val="both"/>
        <w:rPr>
          <w:i/>
        </w:rPr>
      </w:pPr>
      <w:r w:rsidRPr="00200B08">
        <w:rPr>
          <w:i/>
        </w:rPr>
        <w:t>b) İşletmecilerin başvurusu: İşletmeci, Kurum düzenlemelerine uygun faaliyetleri kapsamında talep ettiği numaralar için bu Yönetmeliğin ekindeki ilgili başvuru formunu eksiksiz doldurarak Kuruma başvurur. Başvuruda istenen bilgi ve belgeler, bu Yönetmeliğin ekinde numara türüne göre düzenlenen başvuru formlarında gösterilmektedir. Başvurular, Kurumca gerekli görülen haller dışında, tahsisi talep edilen numaraların planlanan hizmete veriliş tarihinden önceki altı ay içerisinde yapılır.</w:t>
      </w:r>
      <w:r w:rsidR="00041C68">
        <w:rPr>
          <w:i/>
        </w:rPr>
        <w:t>”</w:t>
      </w:r>
    </w:p>
    <w:p w:rsidR="00200B08" w:rsidRDefault="00200B08" w:rsidP="00EC78A0">
      <w:pPr>
        <w:jc w:val="both"/>
      </w:pPr>
      <w:proofErr w:type="gramStart"/>
      <w:r>
        <w:t>hükümleri</w:t>
      </w:r>
      <w:proofErr w:type="gramEnd"/>
      <w:r>
        <w:t xml:space="preserve"> yer almaktadır. </w:t>
      </w:r>
      <w:r w:rsidR="00D300B1">
        <w:t xml:space="preserve">Buna göre, mevcut işletmeciler tarafından yapılan ek kaynak tahsisi talepleri ve </w:t>
      </w:r>
      <w:r w:rsidR="00206B8E">
        <w:t xml:space="preserve">bildirim kapsamındaki işletmeciler ile henüz yetkilendirmesi bulunmayan </w:t>
      </w:r>
      <w:r w:rsidR="00D300B1">
        <w:t>işletmeci adayları tarafından yetkilendirme ile başvurular numara tahsis başvurusu</w:t>
      </w:r>
      <w:r w:rsidR="00206B8E">
        <w:t xml:space="preserve"> olarak</w:t>
      </w:r>
      <w:r w:rsidR="00D300B1">
        <w:t xml:space="preserve"> kabul edilmektedir.</w:t>
      </w:r>
      <w:r w:rsidR="00B849B8">
        <w:t xml:space="preserve"> </w:t>
      </w:r>
    </w:p>
    <w:p w:rsidR="00B849B8" w:rsidRPr="00273283" w:rsidRDefault="00B849B8" w:rsidP="00B849B8">
      <w:pPr>
        <w:pStyle w:val="ListeParagraf"/>
        <w:numPr>
          <w:ilvl w:val="0"/>
          <w:numId w:val="3"/>
        </w:numPr>
        <w:jc w:val="both"/>
        <w:rPr>
          <w:b/>
          <w:sz w:val="24"/>
          <w:szCs w:val="24"/>
        </w:rPr>
      </w:pPr>
      <w:r w:rsidRPr="00273283">
        <w:rPr>
          <w:b/>
          <w:sz w:val="24"/>
          <w:szCs w:val="24"/>
        </w:rPr>
        <w:t>Yetkilendirme</w:t>
      </w:r>
      <w:r w:rsidR="00DC142A" w:rsidRPr="00273283">
        <w:rPr>
          <w:b/>
          <w:sz w:val="24"/>
          <w:szCs w:val="24"/>
        </w:rPr>
        <w:t>si olmayan, ilk defa yetkilendirilecek işletmeci adayları</w:t>
      </w:r>
      <w:r w:rsidR="007730D7" w:rsidRPr="00273283">
        <w:rPr>
          <w:b/>
          <w:sz w:val="24"/>
          <w:szCs w:val="24"/>
        </w:rPr>
        <w:t xml:space="preserve"> tarafından</w:t>
      </w:r>
      <w:r w:rsidR="00DC142A" w:rsidRPr="00273283">
        <w:rPr>
          <w:b/>
          <w:sz w:val="24"/>
          <w:szCs w:val="24"/>
        </w:rPr>
        <w:t xml:space="preserve"> numara kullanım hakkı başvurusu</w:t>
      </w:r>
      <w:r w:rsidR="009E7138" w:rsidRPr="00273283">
        <w:rPr>
          <w:b/>
          <w:sz w:val="24"/>
          <w:szCs w:val="24"/>
        </w:rPr>
        <w:t xml:space="preserve"> için yapılması gerekenler</w:t>
      </w:r>
      <w:r w:rsidRPr="00273283">
        <w:rPr>
          <w:b/>
          <w:sz w:val="24"/>
          <w:szCs w:val="24"/>
        </w:rPr>
        <w:t>:</w:t>
      </w:r>
    </w:p>
    <w:p w:rsidR="00DC142A" w:rsidRPr="00B849B8" w:rsidRDefault="00DC142A" w:rsidP="00DC142A">
      <w:pPr>
        <w:pStyle w:val="ListeParagraf"/>
        <w:ind w:left="1080"/>
        <w:jc w:val="both"/>
        <w:rPr>
          <w:b/>
        </w:rPr>
      </w:pPr>
    </w:p>
    <w:p w:rsidR="00DC142A" w:rsidRDefault="00E32CDE" w:rsidP="00B849B8">
      <w:pPr>
        <w:pStyle w:val="ListeParagraf"/>
        <w:numPr>
          <w:ilvl w:val="0"/>
          <w:numId w:val="4"/>
        </w:numPr>
        <w:jc w:val="both"/>
      </w:pPr>
      <w:r>
        <w:t>“</w:t>
      </w:r>
      <w:hyperlink r:id="rId8" w:history="1">
        <w:r w:rsidRPr="007B3510">
          <w:rPr>
            <w:rStyle w:val="Kpr"/>
          </w:rPr>
          <w:t xml:space="preserve">Kullanım hakkı başvuru </w:t>
        </w:r>
        <w:proofErr w:type="spellStart"/>
        <w:r w:rsidRPr="007B3510">
          <w:rPr>
            <w:rStyle w:val="Kpr"/>
          </w:rPr>
          <w:t>formu</w:t>
        </w:r>
      </w:hyperlink>
      <w:r>
        <w:t>”nun</w:t>
      </w:r>
      <w:proofErr w:type="spellEnd"/>
      <w:r>
        <w:t xml:space="preserve"> eksiksiz olarak doldurulması </w:t>
      </w:r>
    </w:p>
    <w:p w:rsidR="00B849B8" w:rsidRDefault="00DC142A" w:rsidP="00B849B8">
      <w:pPr>
        <w:pStyle w:val="ListeParagraf"/>
        <w:numPr>
          <w:ilvl w:val="0"/>
          <w:numId w:val="4"/>
        </w:numPr>
        <w:jc w:val="both"/>
      </w:pPr>
      <w:r>
        <w:t xml:space="preserve">Kullanım hakkı başvuru formunda </w:t>
      </w:r>
      <w:r w:rsidR="00E32CDE">
        <w:t>yer alan</w:t>
      </w:r>
      <w:r w:rsidR="00E32CDE" w:rsidRPr="00E32CDE">
        <w:t xml:space="preserve"> </w:t>
      </w:r>
      <w:r w:rsidR="00E32CDE">
        <w:t xml:space="preserve">eklerin </w:t>
      </w:r>
      <w:r>
        <w:t xml:space="preserve">eksiksiz olarak </w:t>
      </w:r>
      <w:r w:rsidR="006033FF">
        <w:t>hazırlanarak söz konusu forma eklenmesi</w:t>
      </w:r>
    </w:p>
    <w:p w:rsidR="009E7138" w:rsidRDefault="009E7138" w:rsidP="00B849B8">
      <w:pPr>
        <w:pStyle w:val="ListeParagraf"/>
        <w:numPr>
          <w:ilvl w:val="0"/>
          <w:numId w:val="4"/>
        </w:numPr>
        <w:jc w:val="both"/>
      </w:pPr>
      <w:r>
        <w:lastRenderedPageBreak/>
        <w:t xml:space="preserve">Numaralandırma Yönetmeliği’nin EK-B bölümünde yer alan </w:t>
      </w:r>
      <w:r w:rsidR="00C55626">
        <w:t>“</w:t>
      </w:r>
      <w:hyperlink r:id="rId9" w:history="1">
        <w:r w:rsidR="00C55626" w:rsidRPr="00C55626">
          <w:rPr>
            <w:rStyle w:val="Kpr"/>
          </w:rPr>
          <w:t xml:space="preserve">Elektronik Haberleşme Şebekelerinde kullanılan numaralar İçin Tahsis Başvuru </w:t>
        </w:r>
        <w:proofErr w:type="spellStart"/>
        <w:r w:rsidR="00C55626" w:rsidRPr="00C55626">
          <w:rPr>
            <w:rStyle w:val="Kpr"/>
          </w:rPr>
          <w:t>Formu</w:t>
        </w:r>
      </w:hyperlink>
      <w:r w:rsidR="00C55626">
        <w:t>”nun</w:t>
      </w:r>
      <w:proofErr w:type="spellEnd"/>
      <w:r w:rsidR="00C55626">
        <w:t xml:space="preserve"> </w:t>
      </w:r>
      <w:r w:rsidR="00150997">
        <w:t xml:space="preserve">eksiksiz olarak </w:t>
      </w:r>
      <w:r w:rsidR="007730D7">
        <w:t>doldurulması</w:t>
      </w:r>
    </w:p>
    <w:p w:rsidR="00BA250C" w:rsidRDefault="00BA250C" w:rsidP="00B849B8">
      <w:pPr>
        <w:pStyle w:val="ListeParagraf"/>
        <w:numPr>
          <w:ilvl w:val="0"/>
          <w:numId w:val="4"/>
        </w:numPr>
        <w:jc w:val="both"/>
      </w:pPr>
      <w:r>
        <w:t xml:space="preserve">İlgili numara kullanım hakkı ücretinin ödenerek </w:t>
      </w:r>
      <w:proofErr w:type="gramStart"/>
      <w:r>
        <w:t>dekontun</w:t>
      </w:r>
      <w:proofErr w:type="gramEnd"/>
      <w:r w:rsidR="0083059B">
        <w:t xml:space="preserve"> aslının</w:t>
      </w:r>
      <w:r>
        <w:t xml:space="preserve"> başvuruya eklenmesi</w:t>
      </w:r>
    </w:p>
    <w:p w:rsidR="00273283" w:rsidRDefault="00273283" w:rsidP="00273283">
      <w:pPr>
        <w:pStyle w:val="ListeParagraf"/>
        <w:jc w:val="both"/>
      </w:pPr>
    </w:p>
    <w:p w:rsidR="007730D7" w:rsidRPr="00273283" w:rsidRDefault="007730D7" w:rsidP="007730D7">
      <w:pPr>
        <w:pStyle w:val="ListeParagraf"/>
        <w:numPr>
          <w:ilvl w:val="0"/>
          <w:numId w:val="3"/>
        </w:numPr>
        <w:jc w:val="both"/>
        <w:rPr>
          <w:b/>
          <w:sz w:val="24"/>
          <w:szCs w:val="24"/>
        </w:rPr>
      </w:pPr>
      <w:r w:rsidRPr="00273283">
        <w:rPr>
          <w:b/>
          <w:sz w:val="24"/>
          <w:szCs w:val="24"/>
        </w:rPr>
        <w:t>Bildirim kapsamında yetkilendirmesi olan işletmeciler tarafından numara kullanım hakkı başvurusu için yapılması gerekenler</w:t>
      </w:r>
    </w:p>
    <w:p w:rsidR="00FE78FC" w:rsidRDefault="00FE78FC" w:rsidP="00FE78FC">
      <w:pPr>
        <w:pStyle w:val="ListeParagraf"/>
        <w:ind w:left="1080"/>
        <w:jc w:val="both"/>
        <w:rPr>
          <w:b/>
        </w:rPr>
      </w:pPr>
    </w:p>
    <w:p w:rsidR="00FE78FC" w:rsidRDefault="00FE78FC" w:rsidP="00FE78FC">
      <w:pPr>
        <w:pStyle w:val="ListeParagraf"/>
        <w:numPr>
          <w:ilvl w:val="0"/>
          <w:numId w:val="4"/>
        </w:numPr>
        <w:jc w:val="both"/>
      </w:pPr>
      <w:r>
        <w:t>“</w:t>
      </w:r>
      <w:hyperlink r:id="rId10" w:history="1">
        <w:r w:rsidRPr="00C55626">
          <w:rPr>
            <w:rStyle w:val="Kpr"/>
          </w:rPr>
          <w:t xml:space="preserve">Kullanım hakkı başvuru </w:t>
        </w:r>
        <w:proofErr w:type="spellStart"/>
        <w:r w:rsidRPr="00C55626">
          <w:rPr>
            <w:rStyle w:val="Kpr"/>
          </w:rPr>
          <w:t>formu</w:t>
        </w:r>
      </w:hyperlink>
      <w:r>
        <w:t>”nun</w:t>
      </w:r>
      <w:proofErr w:type="spellEnd"/>
      <w:r>
        <w:t xml:space="preserve"> eksiksiz olarak doldurulması </w:t>
      </w:r>
    </w:p>
    <w:p w:rsidR="00FE78FC" w:rsidRDefault="00FE78FC" w:rsidP="00FE78FC">
      <w:pPr>
        <w:pStyle w:val="ListeParagraf"/>
        <w:numPr>
          <w:ilvl w:val="0"/>
          <w:numId w:val="4"/>
        </w:numPr>
        <w:jc w:val="both"/>
      </w:pPr>
      <w:r>
        <w:t>Kullanım hakkı başvuru formunda yer alan</w:t>
      </w:r>
      <w:r w:rsidRPr="00E32CDE">
        <w:t xml:space="preserve"> </w:t>
      </w:r>
      <w:r>
        <w:t>eklerde daha önce Kuruma iletilmemiş olanların eksiksiz olarak hazırlanarak söz konusu forma eklenmesi (daha önceki yetkilendirme kapsamında Kuruma iletilen belgelerin yeniden gönderilmesine gerek yoktur)</w:t>
      </w:r>
    </w:p>
    <w:p w:rsidR="00FE78FC" w:rsidRDefault="00FE78FC" w:rsidP="00C55626">
      <w:pPr>
        <w:pStyle w:val="ListeParagraf"/>
        <w:numPr>
          <w:ilvl w:val="0"/>
          <w:numId w:val="4"/>
        </w:numPr>
        <w:jc w:val="both"/>
      </w:pPr>
      <w:r>
        <w:t xml:space="preserve">Numaralandırma Yönetmeliği’nin EK-B bölümünde yer alan </w:t>
      </w:r>
      <w:r w:rsidR="00C55626">
        <w:t>“</w:t>
      </w:r>
      <w:hyperlink r:id="rId11" w:history="1">
        <w:r w:rsidR="00C55626" w:rsidRPr="00C55626">
          <w:rPr>
            <w:rStyle w:val="Kpr"/>
          </w:rPr>
          <w:t xml:space="preserve">Elektronik Haberleşme Şebekelerinde kullanılan numaralar İçin Tahsis Başvuru </w:t>
        </w:r>
        <w:proofErr w:type="spellStart"/>
        <w:r w:rsidR="00C55626" w:rsidRPr="00C55626">
          <w:rPr>
            <w:rStyle w:val="Kpr"/>
          </w:rPr>
          <w:t>Formu</w:t>
        </w:r>
      </w:hyperlink>
      <w:r w:rsidR="00C55626">
        <w:t>”nun</w:t>
      </w:r>
      <w:proofErr w:type="spellEnd"/>
      <w:r w:rsidR="00C55626">
        <w:t xml:space="preserve"> </w:t>
      </w:r>
      <w:r w:rsidR="00150997">
        <w:t xml:space="preserve">eksiksiz olarak </w:t>
      </w:r>
      <w:r>
        <w:t>doldurulması</w:t>
      </w:r>
    </w:p>
    <w:p w:rsidR="00BA250C" w:rsidRDefault="00BA250C" w:rsidP="00BA250C">
      <w:pPr>
        <w:pStyle w:val="ListeParagraf"/>
        <w:numPr>
          <w:ilvl w:val="0"/>
          <w:numId w:val="4"/>
        </w:numPr>
        <w:jc w:val="both"/>
      </w:pPr>
      <w:r>
        <w:t xml:space="preserve">İlgili numara kullanım hakkı ücretinin ödenerek </w:t>
      </w:r>
      <w:proofErr w:type="gramStart"/>
      <w:r>
        <w:t>dekontun</w:t>
      </w:r>
      <w:proofErr w:type="gramEnd"/>
      <w:r>
        <w:t xml:space="preserve"> </w:t>
      </w:r>
      <w:r w:rsidR="0083059B">
        <w:t>aslının</w:t>
      </w:r>
      <w:r w:rsidR="003A4A41">
        <w:t xml:space="preserve"> veya banka onaylı suretinin</w:t>
      </w:r>
      <w:r w:rsidR="0083059B">
        <w:t xml:space="preserve"> </w:t>
      </w:r>
      <w:r>
        <w:t>başvuruya eklenmesi</w:t>
      </w:r>
    </w:p>
    <w:p w:rsidR="00914B54" w:rsidRDefault="00914B54" w:rsidP="00914B54">
      <w:pPr>
        <w:pStyle w:val="ListeParagraf"/>
        <w:jc w:val="both"/>
      </w:pPr>
    </w:p>
    <w:p w:rsidR="00914B54" w:rsidRPr="00273283" w:rsidRDefault="00914B54" w:rsidP="00914B54">
      <w:pPr>
        <w:pStyle w:val="ListeParagraf"/>
        <w:numPr>
          <w:ilvl w:val="0"/>
          <w:numId w:val="3"/>
        </w:numPr>
        <w:jc w:val="both"/>
        <w:rPr>
          <w:b/>
          <w:sz w:val="24"/>
          <w:szCs w:val="24"/>
        </w:rPr>
      </w:pPr>
      <w:r w:rsidRPr="00273283">
        <w:rPr>
          <w:b/>
          <w:sz w:val="24"/>
          <w:szCs w:val="24"/>
        </w:rPr>
        <w:t>Kullanım hakkı kapsamında yetkilendirmesi olan işletmeciler tarafından ek kaynak tahsisi başvurusu için yapılması gerekenler</w:t>
      </w:r>
    </w:p>
    <w:p w:rsidR="00BA250C" w:rsidRDefault="00BA250C" w:rsidP="00BA250C">
      <w:pPr>
        <w:pStyle w:val="ListeParagraf"/>
        <w:ind w:left="1080"/>
        <w:jc w:val="both"/>
        <w:rPr>
          <w:b/>
        </w:rPr>
      </w:pPr>
    </w:p>
    <w:p w:rsidR="00BA250C" w:rsidRDefault="00BA250C" w:rsidP="00BA250C">
      <w:pPr>
        <w:pStyle w:val="ListeParagraf"/>
        <w:numPr>
          <w:ilvl w:val="0"/>
          <w:numId w:val="4"/>
        </w:numPr>
        <w:jc w:val="both"/>
      </w:pPr>
      <w:r>
        <w:t xml:space="preserve">Numaralandırma Yönetmeliği’nin EK-B bölümünde yer alan </w:t>
      </w:r>
      <w:r w:rsidR="00C55626">
        <w:t>“</w:t>
      </w:r>
      <w:hyperlink r:id="rId12" w:history="1">
        <w:r w:rsidR="00C55626" w:rsidRPr="00C55626">
          <w:rPr>
            <w:rStyle w:val="Kpr"/>
          </w:rPr>
          <w:t xml:space="preserve">Elektronik Haberleşme Şebekelerinde kullanılan numaralar İçin Tahsis Başvuru </w:t>
        </w:r>
        <w:proofErr w:type="spellStart"/>
        <w:r w:rsidR="00C55626" w:rsidRPr="00C55626">
          <w:rPr>
            <w:rStyle w:val="Kpr"/>
          </w:rPr>
          <w:t>Formu</w:t>
        </w:r>
      </w:hyperlink>
      <w:r w:rsidR="00C55626">
        <w:t>”nun</w:t>
      </w:r>
      <w:proofErr w:type="spellEnd"/>
      <w:r w:rsidR="00C55626">
        <w:t xml:space="preserve"> </w:t>
      </w:r>
      <w:r w:rsidR="00150997">
        <w:t xml:space="preserve">eksiksiz olarak </w:t>
      </w:r>
      <w:r>
        <w:t>doldurulması</w:t>
      </w:r>
    </w:p>
    <w:p w:rsidR="00BA250C" w:rsidRDefault="00BA250C" w:rsidP="00BA250C">
      <w:pPr>
        <w:pStyle w:val="ListeParagraf"/>
        <w:numPr>
          <w:ilvl w:val="0"/>
          <w:numId w:val="4"/>
        </w:numPr>
        <w:jc w:val="both"/>
      </w:pPr>
      <w:r>
        <w:t xml:space="preserve">İlgili numara kullanım hakkı ücretinin ödenerek </w:t>
      </w:r>
      <w:proofErr w:type="gramStart"/>
      <w:r>
        <w:t>dekontun</w:t>
      </w:r>
      <w:proofErr w:type="gramEnd"/>
      <w:r>
        <w:t xml:space="preserve"> </w:t>
      </w:r>
      <w:r w:rsidR="0083059B">
        <w:t xml:space="preserve">aslının </w:t>
      </w:r>
      <w:r>
        <w:t>başvuruya eklenmesi</w:t>
      </w:r>
    </w:p>
    <w:p w:rsidR="002F1D2D" w:rsidRDefault="002F1D2D" w:rsidP="007730D7">
      <w:pPr>
        <w:jc w:val="both"/>
        <w:rPr>
          <w:b/>
          <w:u w:val="single"/>
        </w:rPr>
      </w:pPr>
    </w:p>
    <w:p w:rsidR="007730D7" w:rsidRDefault="0019102B" w:rsidP="007730D7">
      <w:pPr>
        <w:jc w:val="both"/>
      </w:pPr>
      <w:r w:rsidRPr="001209A4">
        <w:rPr>
          <w:b/>
          <w:u w:val="single"/>
        </w:rPr>
        <w:t>ÖNEMLİ NOT</w:t>
      </w:r>
      <w:r w:rsidR="00FC3E62">
        <w:rPr>
          <w:b/>
          <w:u w:val="single"/>
        </w:rPr>
        <w:t xml:space="preserve"> 1</w:t>
      </w:r>
      <w:r w:rsidRPr="001209A4">
        <w:rPr>
          <w:b/>
          <w:u w:val="single"/>
        </w:rPr>
        <w:t>:</w:t>
      </w:r>
      <w:r>
        <w:rPr>
          <w:b/>
        </w:rPr>
        <w:t xml:space="preserve"> </w:t>
      </w:r>
      <w:r>
        <w:t>Tahsisin en kısa sürede gerçekleşebilmesi için bahse konu formların eksiksiz doldurulması önem arz etmektedir. Ayrıca ek kaynak tahsislerinde daha önce tahsis edilen aynı tür numaralarda % 65 doluluk oranına ulaşılmış olması gerekmektedir.</w:t>
      </w:r>
    </w:p>
    <w:p w:rsidR="00FC3E62" w:rsidRDefault="00FC3E62" w:rsidP="00FC3E62">
      <w:pPr>
        <w:jc w:val="both"/>
      </w:pPr>
      <w:r w:rsidRPr="001209A4">
        <w:rPr>
          <w:b/>
          <w:u w:val="single"/>
        </w:rPr>
        <w:t>ÖNEMLİ NOT</w:t>
      </w:r>
      <w:r>
        <w:rPr>
          <w:b/>
          <w:u w:val="single"/>
        </w:rPr>
        <w:t xml:space="preserve"> 2</w:t>
      </w:r>
      <w:r w:rsidRPr="001209A4">
        <w:rPr>
          <w:b/>
          <w:u w:val="single"/>
        </w:rPr>
        <w:t>:</w:t>
      </w:r>
      <w:r>
        <w:rPr>
          <w:b/>
        </w:rPr>
        <w:t xml:space="preserve"> </w:t>
      </w:r>
      <w:r>
        <w:t>Konumdan bağımsız numaralar (850 alan kodlu) ve coğrafi numaralar en küçük 1.000 numaralık bloklar halinde tahsis edilmektedir.</w:t>
      </w:r>
      <w:r w:rsidR="0083059B">
        <w:t xml:space="preserve"> Söz konusu numaralar için Numa</w:t>
      </w:r>
      <w:r w:rsidR="00951BC9">
        <w:t>ralandırma Yönetmeliği’nin EK-B</w:t>
      </w:r>
      <w:r w:rsidR="0083059B">
        <w:t xml:space="preserve"> formunun doldurulması gerekmektedir.</w:t>
      </w:r>
    </w:p>
    <w:p w:rsidR="0083059B" w:rsidRDefault="0083059B" w:rsidP="00FC3E62">
      <w:pPr>
        <w:jc w:val="both"/>
      </w:pPr>
      <w:r w:rsidRPr="001209A4">
        <w:rPr>
          <w:b/>
          <w:u w:val="single"/>
        </w:rPr>
        <w:t>ÖNEMLİ NOT</w:t>
      </w:r>
      <w:r>
        <w:rPr>
          <w:b/>
          <w:u w:val="single"/>
        </w:rPr>
        <w:t xml:space="preserve"> 3</w:t>
      </w:r>
      <w:r w:rsidRPr="001209A4">
        <w:rPr>
          <w:b/>
          <w:u w:val="single"/>
        </w:rPr>
        <w:t>:</w:t>
      </w:r>
      <w:r>
        <w:rPr>
          <w:b/>
        </w:rPr>
        <w:t xml:space="preserve"> </w:t>
      </w:r>
      <w:r>
        <w:t xml:space="preserve">Numara kullanım hakkı ücretinin </w:t>
      </w:r>
      <w:proofErr w:type="gramStart"/>
      <w:r>
        <w:t>dekontunun</w:t>
      </w:r>
      <w:proofErr w:type="gramEnd"/>
      <w:r>
        <w:t xml:space="preserve"> aslının gönderilmesi esastır. İnternet üzerinden EFT yapıldığı durumlarda, banka şubesi tarafından onaylanması durumunda EFT çıktısı da kabul edilmektedir. Bunun dışındaki belgeler (</w:t>
      </w:r>
      <w:proofErr w:type="gramStart"/>
      <w:r>
        <w:t>dekont</w:t>
      </w:r>
      <w:proofErr w:type="gramEnd"/>
      <w:r>
        <w:t xml:space="preserve"> fotokopisi, onaysız EFT çıktısı gibi) kabul edilmemektedir.</w:t>
      </w:r>
    </w:p>
    <w:p w:rsidR="00BE72BE" w:rsidRDefault="002F1D2D" w:rsidP="00BE72BE">
      <w:pPr>
        <w:jc w:val="both"/>
      </w:pPr>
      <w:r w:rsidRPr="001209A4">
        <w:rPr>
          <w:b/>
          <w:u w:val="single"/>
        </w:rPr>
        <w:t>ÖNEMLİ NOT</w:t>
      </w:r>
      <w:r>
        <w:rPr>
          <w:b/>
          <w:u w:val="single"/>
        </w:rPr>
        <w:t xml:space="preserve"> 4</w:t>
      </w:r>
      <w:r w:rsidRPr="001209A4">
        <w:rPr>
          <w:b/>
          <w:u w:val="single"/>
        </w:rPr>
        <w:t>:</w:t>
      </w:r>
      <w:r>
        <w:rPr>
          <w:b/>
        </w:rPr>
        <w:t xml:space="preserve"> </w:t>
      </w:r>
      <w:r w:rsidRPr="002F1D2D">
        <w:t>Tahsisi talep edilecek boş numara</w:t>
      </w:r>
      <w:r>
        <w:t xml:space="preserve"> kaynakları</w:t>
      </w:r>
      <w:r w:rsidR="00313D71">
        <w:t>,</w:t>
      </w:r>
      <w:r w:rsidR="00A34B9F">
        <w:t xml:space="preserve"> </w:t>
      </w:r>
      <w:hyperlink r:id="rId13" w:history="1">
        <w:r w:rsidR="009A2EDA" w:rsidRPr="009A2EDA">
          <w:rPr>
            <w:rStyle w:val="Kpr"/>
          </w:rPr>
          <w:t>https://www.btk.gov.tr/isletmecilere-tahsisli-numaralar</w:t>
        </w:r>
      </w:hyperlink>
      <w:r w:rsidR="009A2EDA">
        <w:t xml:space="preserve"> </w:t>
      </w:r>
      <w:r>
        <w:t>adresindeki ilgili numara kayn</w:t>
      </w:r>
      <w:r w:rsidR="00BE72BE">
        <w:t>ağı dosyasında yer almaktadır.</w:t>
      </w:r>
    </w:p>
    <w:p w:rsidR="00BE72BE" w:rsidRDefault="00BE72BE" w:rsidP="00A34B9F">
      <w:pPr>
        <w:tabs>
          <w:tab w:val="left" w:pos="1755"/>
        </w:tabs>
        <w:jc w:val="both"/>
      </w:pPr>
    </w:p>
    <w:p w:rsidR="00A34B9F" w:rsidRDefault="00A34B9F" w:rsidP="00A34B9F">
      <w:pPr>
        <w:tabs>
          <w:tab w:val="left" w:pos="1755"/>
        </w:tabs>
        <w:jc w:val="both"/>
      </w:pPr>
      <w:bookmarkStart w:id="0" w:name="_GoBack"/>
      <w:bookmarkEnd w:id="0"/>
    </w:p>
    <w:p w:rsidR="00056A4E" w:rsidRPr="00056A4E" w:rsidRDefault="00927842" w:rsidP="00BE72BE">
      <w:pPr>
        <w:jc w:val="both"/>
        <w:rPr>
          <w:b/>
          <w:sz w:val="28"/>
          <w:szCs w:val="28"/>
        </w:rPr>
      </w:pPr>
      <w:r w:rsidRPr="00273283">
        <w:rPr>
          <w:b/>
          <w:sz w:val="28"/>
          <w:szCs w:val="28"/>
        </w:rPr>
        <w:lastRenderedPageBreak/>
        <w:t>Numara kullanım hakkı ücretinin ödenmesi</w:t>
      </w:r>
    </w:p>
    <w:p w:rsidR="00041C68" w:rsidRDefault="00041C68" w:rsidP="00041C68">
      <w:pPr>
        <w:jc w:val="both"/>
        <w:rPr>
          <w:rFonts w:ascii="Calibri" w:eastAsia="Calibri" w:hAnsi="Calibri" w:cs="Times New Roman"/>
        </w:rPr>
      </w:pPr>
      <w:r w:rsidRPr="00A21717">
        <w:rPr>
          <w:rFonts w:ascii="Calibri" w:eastAsia="Calibri" w:hAnsi="Calibri" w:cs="Times New Roman"/>
        </w:rPr>
        <w:t xml:space="preserve">27/06/2009 tarih ve 27271 sayılı Resmi </w:t>
      </w:r>
      <w:proofErr w:type="spellStart"/>
      <w:r w:rsidRPr="00A21717">
        <w:rPr>
          <w:rFonts w:ascii="Calibri" w:eastAsia="Calibri" w:hAnsi="Calibri" w:cs="Times New Roman"/>
        </w:rPr>
        <w:t>Gazete’de</w:t>
      </w:r>
      <w:proofErr w:type="spellEnd"/>
      <w:r w:rsidRPr="00A21717">
        <w:rPr>
          <w:rFonts w:ascii="Calibri" w:eastAsia="Calibri" w:hAnsi="Calibri" w:cs="Times New Roman"/>
        </w:rPr>
        <w:t xml:space="preserve"> yayımlanan Numaralandırma Yönetmeliği</w:t>
      </w:r>
      <w:r>
        <w:rPr>
          <w:rFonts w:ascii="Calibri" w:eastAsia="Calibri" w:hAnsi="Calibri" w:cs="Times New Roman"/>
        </w:rPr>
        <w:t>’nin “</w:t>
      </w:r>
      <w:r w:rsidRPr="00214B9A">
        <w:rPr>
          <w:rFonts w:ascii="Calibri" w:eastAsia="Calibri" w:hAnsi="Calibri" w:cs="Times New Roman"/>
        </w:rPr>
        <w:t>Numara kullanım hakkı ücreti</w:t>
      </w:r>
      <w:r>
        <w:rPr>
          <w:rFonts w:ascii="Calibri" w:eastAsia="Calibri" w:hAnsi="Calibri" w:cs="Times New Roman"/>
        </w:rPr>
        <w:t>” başlıklı 6’ncı maddesinin birinci fıkrasında</w:t>
      </w:r>
      <w:r>
        <w:t xml:space="preserve"> yer alan</w:t>
      </w:r>
      <w:r>
        <w:rPr>
          <w:rFonts w:ascii="Calibri" w:eastAsia="Calibri" w:hAnsi="Calibri" w:cs="Times New Roman"/>
        </w:rPr>
        <w:t>;</w:t>
      </w:r>
    </w:p>
    <w:p w:rsidR="00041C68" w:rsidRPr="00041C68" w:rsidRDefault="00041C68" w:rsidP="00041C68">
      <w:pPr>
        <w:jc w:val="both"/>
        <w:rPr>
          <w:rFonts w:ascii="Calibri" w:eastAsia="Calibri" w:hAnsi="Calibri" w:cs="Times New Roman"/>
          <w:i/>
        </w:rPr>
      </w:pPr>
      <w:r w:rsidRPr="00A17E20">
        <w:rPr>
          <w:rFonts w:ascii="Calibri" w:eastAsia="Calibri" w:hAnsi="Calibri" w:cs="Times New Roman"/>
          <w:i/>
        </w:rPr>
        <w:t>“Numara tahsislerinde tahsis edilecek numara sayısı ile orantılı olacak şekilde ilgili mevzuat uyarınca numara kullanım hakkı ücreti alınır.”</w:t>
      </w:r>
    </w:p>
    <w:p w:rsidR="00041C68" w:rsidRDefault="00041C68" w:rsidP="00041C68">
      <w:pPr>
        <w:jc w:val="both"/>
      </w:pPr>
      <w:proofErr w:type="gramStart"/>
      <w:r>
        <w:rPr>
          <w:rFonts w:ascii="Calibri" w:eastAsia="Calibri" w:hAnsi="Calibri" w:cs="Times New Roman"/>
        </w:rPr>
        <w:t>hükmü</w:t>
      </w:r>
      <w:proofErr w:type="gramEnd"/>
      <w:r>
        <w:rPr>
          <w:rFonts w:ascii="Calibri" w:eastAsia="Calibri" w:hAnsi="Calibri" w:cs="Times New Roman"/>
        </w:rPr>
        <w:t xml:space="preserve"> </w:t>
      </w:r>
      <w:r>
        <w:t>uyarınca numara tahsisi için ilgili kullanım hakkı ücretinin ödenmesi gerekmektedir. Söz konusu ücretler yıllık olarak belirlenmiş olup her yılın başında Maliye Bakanlığı’nın belirlediği yeniden değerleme oranı çerçevesinde belirlenmektedir. Söz konusu ücretlere Kurum internet sitesi numaralandırma bağlantısından ulaşılması mümkündür.</w:t>
      </w:r>
    </w:p>
    <w:p w:rsidR="00041C68" w:rsidRDefault="00041C68" w:rsidP="00041C68">
      <w:pPr>
        <w:jc w:val="both"/>
      </w:pPr>
      <w:r w:rsidRPr="00BB41A0">
        <w:t>Num</w:t>
      </w:r>
      <w:r w:rsidR="00BB41A0" w:rsidRPr="00BB41A0">
        <w:t>ara kullanım hakkı ücretlerinin</w:t>
      </w:r>
      <w:r w:rsidR="0051691F">
        <w:t>,</w:t>
      </w:r>
      <w:r w:rsidRPr="00BB41A0">
        <w:t xml:space="preserve"> </w:t>
      </w:r>
      <w:r w:rsidRPr="002F1D2D">
        <w:rPr>
          <w:b/>
        </w:rPr>
        <w:t xml:space="preserve">Hazine Müsteşarlığı’nın </w:t>
      </w:r>
      <w:r w:rsidRPr="002F1D2D">
        <w:rPr>
          <w:b/>
          <w:bCs/>
        </w:rPr>
        <w:t>T.C. Merkez Bankası Ankara Merkez Şubesi’nde bulunan 330.104.000-6/410</w:t>
      </w:r>
      <w:r w:rsidRPr="002F1D2D">
        <w:rPr>
          <w:b/>
        </w:rPr>
        <w:t xml:space="preserve"> no.lu hesabına (IBAN: TR580000100100000330104000)</w:t>
      </w:r>
      <w:r w:rsidRPr="00BB41A0">
        <w:t xml:space="preserve"> yatırıldığını gösteren ilgili </w:t>
      </w:r>
      <w:proofErr w:type="gramStart"/>
      <w:r w:rsidRPr="00BB41A0">
        <w:rPr>
          <w:bCs/>
        </w:rPr>
        <w:t>dekontun</w:t>
      </w:r>
      <w:proofErr w:type="gramEnd"/>
      <w:r w:rsidRPr="00BB41A0">
        <w:rPr>
          <w:bCs/>
        </w:rPr>
        <w:t xml:space="preserve"> aslının (ya da banka onaylı </w:t>
      </w:r>
      <w:r w:rsidR="00EE562B">
        <w:rPr>
          <w:bCs/>
        </w:rPr>
        <w:t>suretinin</w:t>
      </w:r>
      <w:r w:rsidRPr="00BB41A0">
        <w:rPr>
          <w:bCs/>
        </w:rPr>
        <w:t xml:space="preserve">) </w:t>
      </w:r>
      <w:r w:rsidR="00BB41A0">
        <w:t>numara tahsis başvurusu dilekçesine eklenerek Kuruma iletilmesi gerekmektedir.</w:t>
      </w:r>
    </w:p>
    <w:p w:rsidR="006C4F6B" w:rsidRDefault="00F96476" w:rsidP="00041C68">
      <w:pPr>
        <w:jc w:val="both"/>
      </w:pPr>
      <w:r w:rsidRPr="000F61C9">
        <w:rPr>
          <w:rFonts w:ascii="Calibri" w:eastAsia="Calibri" w:hAnsi="Calibri" w:cs="Times New Roman"/>
        </w:rPr>
        <w:t xml:space="preserve">28/05/2009 tarih ve 27241 sayılı Resmi </w:t>
      </w:r>
      <w:proofErr w:type="spellStart"/>
      <w:r w:rsidRPr="000F61C9">
        <w:rPr>
          <w:rFonts w:ascii="Calibri" w:eastAsia="Calibri" w:hAnsi="Calibri" w:cs="Times New Roman"/>
        </w:rPr>
        <w:t>Gazete’de</w:t>
      </w:r>
      <w:proofErr w:type="spellEnd"/>
      <w:r w:rsidRPr="000F61C9">
        <w:rPr>
          <w:rFonts w:ascii="Calibri" w:eastAsia="Calibri" w:hAnsi="Calibri" w:cs="Times New Roman"/>
        </w:rPr>
        <w:t xml:space="preserve"> yayımlanan Elektronik Haberleşme Sektörüne İlişkin Yetkilendirme Yönetmeliği</w:t>
      </w:r>
      <w:r>
        <w:rPr>
          <w:rFonts w:ascii="Calibri" w:eastAsia="Calibri" w:hAnsi="Calibri" w:cs="Times New Roman"/>
        </w:rPr>
        <w:t>’nin “</w:t>
      </w:r>
      <w:r w:rsidRPr="00A17E20">
        <w:rPr>
          <w:rFonts w:ascii="Calibri" w:eastAsia="Calibri" w:hAnsi="Calibri" w:cs="Times New Roman"/>
        </w:rPr>
        <w:t>Kullanım hakkı ücretinin ödenmesi</w:t>
      </w:r>
      <w:r>
        <w:rPr>
          <w:rFonts w:ascii="Calibri" w:eastAsia="Calibri" w:hAnsi="Calibri" w:cs="Times New Roman"/>
        </w:rPr>
        <w:t>” başlıklı 18’inci maddesinin yedinci fıkrasında</w:t>
      </w:r>
      <w:r>
        <w:t xml:space="preserve"> yer alan</w:t>
      </w:r>
      <w:r>
        <w:rPr>
          <w:rFonts w:ascii="Calibri" w:eastAsia="Calibri" w:hAnsi="Calibri" w:cs="Times New Roman"/>
        </w:rPr>
        <w:t>;</w:t>
      </w:r>
      <w:r>
        <w:t xml:space="preserve"> </w:t>
      </w:r>
      <w:r w:rsidRPr="0019703C">
        <w:rPr>
          <w:rFonts w:ascii="Calibri" w:eastAsia="Calibri" w:hAnsi="Calibri" w:cs="Times New Roman"/>
          <w:i/>
        </w:rPr>
        <w:t xml:space="preserve">“Yıl içerisinde yapılan ek kaynak tahsisine ilişkin kullanım hakkı ücreti, </w:t>
      </w:r>
      <w:proofErr w:type="spellStart"/>
      <w:r w:rsidRPr="0019703C">
        <w:rPr>
          <w:rFonts w:ascii="Calibri" w:eastAsia="Calibri" w:hAnsi="Calibri" w:cs="Times New Roman"/>
          <w:i/>
        </w:rPr>
        <w:t>kıst</w:t>
      </w:r>
      <w:proofErr w:type="spellEnd"/>
      <w:r w:rsidRPr="0019703C">
        <w:rPr>
          <w:rFonts w:ascii="Calibri" w:eastAsia="Calibri" w:hAnsi="Calibri" w:cs="Times New Roman"/>
          <w:i/>
        </w:rPr>
        <w:t xml:space="preserve"> olarak tahsis edilir. </w:t>
      </w:r>
      <w:proofErr w:type="spellStart"/>
      <w:r w:rsidRPr="0019703C">
        <w:rPr>
          <w:rFonts w:ascii="Calibri" w:eastAsia="Calibri" w:hAnsi="Calibri" w:cs="Times New Roman"/>
          <w:i/>
        </w:rPr>
        <w:t>Kıst</w:t>
      </w:r>
      <w:proofErr w:type="spellEnd"/>
      <w:r w:rsidRPr="0019703C">
        <w:rPr>
          <w:rFonts w:ascii="Calibri" w:eastAsia="Calibri" w:hAnsi="Calibri" w:cs="Times New Roman"/>
          <w:i/>
        </w:rPr>
        <w:t xml:space="preserve"> uygulamalarda, ay hesabı dikkate alınır.”</w:t>
      </w:r>
      <w:r>
        <w:rPr>
          <w:i/>
        </w:rPr>
        <w:t xml:space="preserve"> </w:t>
      </w:r>
      <w:r>
        <w:rPr>
          <w:rFonts w:ascii="Calibri" w:eastAsia="Calibri" w:hAnsi="Calibri" w:cs="Times New Roman"/>
        </w:rPr>
        <w:t>hükmü</w:t>
      </w:r>
      <w:r>
        <w:t xml:space="preserve"> uyarınca, </w:t>
      </w:r>
      <w:proofErr w:type="spellStart"/>
      <w:r>
        <w:t>kıst</w:t>
      </w:r>
      <w:proofErr w:type="spellEnd"/>
      <w:r>
        <w:t xml:space="preserve"> </w:t>
      </w:r>
      <w:r w:rsidR="006C4F6B">
        <w:t>hesaplanarak ödenen ücretlerde ay hesabı yapılması gerekmektedir.</w:t>
      </w:r>
    </w:p>
    <w:p w:rsidR="00F96476" w:rsidRDefault="00F96476" w:rsidP="00041C68">
      <w:pPr>
        <w:jc w:val="both"/>
      </w:pPr>
      <w:r>
        <w:t>Bu çerçevede,</w:t>
      </w:r>
      <w:r w:rsidRPr="00F96476">
        <w:t xml:space="preserve"> </w:t>
      </w:r>
    </w:p>
    <w:p w:rsidR="00F96476" w:rsidRDefault="00F96476" w:rsidP="00F96476">
      <w:pPr>
        <w:pStyle w:val="ListeParagraf"/>
        <w:numPr>
          <w:ilvl w:val="0"/>
          <w:numId w:val="7"/>
        </w:numPr>
        <w:jc w:val="both"/>
      </w:pPr>
      <w:r w:rsidRPr="00F96476">
        <w:t>İlk defa yetkilendirilecek işletmeci adayları</w:t>
      </w:r>
      <w:r>
        <w:t>nın ilk numara tahsis taleplerinde;</w:t>
      </w:r>
    </w:p>
    <w:p w:rsidR="00F96476" w:rsidRDefault="00F96476" w:rsidP="00F96476">
      <w:pPr>
        <w:pStyle w:val="ListeParagraf"/>
        <w:numPr>
          <w:ilvl w:val="0"/>
          <w:numId w:val="7"/>
        </w:numPr>
        <w:jc w:val="both"/>
      </w:pPr>
      <w:r w:rsidRPr="00F96476">
        <w:t>Bildirim kapsamında yetkilendirmesi olan işletmeciler</w:t>
      </w:r>
      <w:r>
        <w:t>in ilk numara tahsis taleplerinde;</w:t>
      </w:r>
    </w:p>
    <w:p w:rsidR="00F96476" w:rsidRDefault="00F96476" w:rsidP="00F96476">
      <w:pPr>
        <w:pStyle w:val="ListeParagraf"/>
        <w:numPr>
          <w:ilvl w:val="0"/>
          <w:numId w:val="7"/>
        </w:numPr>
        <w:jc w:val="both"/>
      </w:pPr>
      <w:r w:rsidRPr="00F96476">
        <w:t>Kullanım hakkı kapsamında yetkilendirmesi olan işletmeciler</w:t>
      </w:r>
      <w:r>
        <w:t>in ek kaynak tahsis taleplerinde;</w:t>
      </w:r>
    </w:p>
    <w:p w:rsidR="00F96476" w:rsidRDefault="00F96476" w:rsidP="00F96476">
      <w:pPr>
        <w:jc w:val="both"/>
      </w:pPr>
      <w:proofErr w:type="gramStart"/>
      <w:r>
        <w:t>dikkat</w:t>
      </w:r>
      <w:proofErr w:type="gramEnd"/>
      <w:r>
        <w:t xml:space="preserve"> edilmesi gereken hususlar aşağıda verilmektedir:</w:t>
      </w:r>
    </w:p>
    <w:p w:rsidR="006C4F6B" w:rsidRDefault="00CD44C2" w:rsidP="006C4F6B">
      <w:pPr>
        <w:pStyle w:val="ListeParagraf"/>
        <w:numPr>
          <w:ilvl w:val="0"/>
          <w:numId w:val="4"/>
        </w:numPr>
        <w:jc w:val="both"/>
      </w:pPr>
      <w:r w:rsidRPr="00CD44C2">
        <w:t>Söz konusu işletmeciler ve işletmeci adayları</w:t>
      </w:r>
      <w:r w:rsidR="006C4F6B">
        <w:t>nın</w:t>
      </w:r>
      <w:r w:rsidRPr="00CD44C2">
        <w:t>, başvurulan yıla ilişkin bir</w:t>
      </w:r>
      <w:r w:rsidR="006C4F6B">
        <w:t xml:space="preserve"> yıllık kullanım hakkı ücretini, başvuru tarihi ile yılsonu arasındaki süreye göre </w:t>
      </w:r>
      <w:proofErr w:type="spellStart"/>
      <w:r w:rsidR="006C4F6B">
        <w:t>kıst</w:t>
      </w:r>
      <w:proofErr w:type="spellEnd"/>
      <w:r w:rsidR="006C4F6B">
        <w:t xml:space="preserve"> olarak hesaplayarak </w:t>
      </w:r>
      <w:r w:rsidR="006C4F6B" w:rsidRPr="00CD44C2">
        <w:t>ödemesi gerekmektedir</w:t>
      </w:r>
      <w:r w:rsidR="006C4F6B">
        <w:t>. Örneğin yetkilendirme</w:t>
      </w:r>
      <w:r w:rsidR="00F96476">
        <w:t>/numara tahsis</w:t>
      </w:r>
      <w:r w:rsidR="006C4F6B">
        <w:t xml:space="preserve"> başvurusu Haziran ayı içerisinde olan bir işletmeci ya da işletmeci adayının 7 aylık </w:t>
      </w:r>
      <w:proofErr w:type="spellStart"/>
      <w:r w:rsidR="006C4F6B">
        <w:t>kıst</w:t>
      </w:r>
      <w:proofErr w:type="spellEnd"/>
      <w:r w:rsidR="006C4F6B">
        <w:t xml:space="preserve"> ücret ödemesi gerekmektedir (Haziran ve Aralık ayları </w:t>
      </w:r>
      <w:proofErr w:type="gramStart"/>
      <w:r w:rsidR="006C4F6B">
        <w:t>dahil</w:t>
      </w:r>
      <w:proofErr w:type="gramEnd"/>
      <w:r w:rsidR="006C4F6B">
        <w:t xml:space="preserve"> 7 ay). Yani yıllık ücretin tamamı yerine 7/12’sinin ödenmesi yeterlidir.</w:t>
      </w:r>
      <w:r w:rsidR="00D5566D">
        <w:t xml:space="preserve"> </w:t>
      </w:r>
      <w:r w:rsidR="00F96476">
        <w:t xml:space="preserve">Başka bir örnek olarak, başvurusu Mart ayı içerisinde olan bir işletmeci ya da işletmeci adayının 10 aylık </w:t>
      </w:r>
      <w:proofErr w:type="spellStart"/>
      <w:r w:rsidR="00F96476">
        <w:t>kıst</w:t>
      </w:r>
      <w:proofErr w:type="spellEnd"/>
      <w:r w:rsidR="00F96476">
        <w:t xml:space="preserve"> ücret ödemesi gerekmektedir (Mart ve Aralık ayları </w:t>
      </w:r>
      <w:proofErr w:type="gramStart"/>
      <w:r w:rsidR="00F96476">
        <w:t>dahil</w:t>
      </w:r>
      <w:proofErr w:type="gramEnd"/>
      <w:r w:rsidR="00F96476">
        <w:t xml:space="preserve"> 10 ay)</w:t>
      </w:r>
    </w:p>
    <w:p w:rsidR="00501418" w:rsidRDefault="00501418" w:rsidP="00501418">
      <w:pPr>
        <w:pStyle w:val="ListeParagraf"/>
        <w:jc w:val="both"/>
      </w:pPr>
    </w:p>
    <w:p w:rsidR="00CD44C2" w:rsidRPr="002F1D2D" w:rsidRDefault="006C4F6B" w:rsidP="00CD44C2">
      <w:pPr>
        <w:pStyle w:val="ListeParagraf"/>
        <w:numPr>
          <w:ilvl w:val="0"/>
          <w:numId w:val="4"/>
        </w:numPr>
        <w:jc w:val="both"/>
        <w:rPr>
          <w:b/>
        </w:rPr>
      </w:pPr>
      <w:r w:rsidRPr="002F1D2D">
        <w:rPr>
          <w:b/>
        </w:rPr>
        <w:t>Yeni ta</w:t>
      </w:r>
      <w:r w:rsidR="00F96476" w:rsidRPr="002F1D2D">
        <w:rPr>
          <w:b/>
        </w:rPr>
        <w:t>hsisin akabinde her yılın Ocak ayının son gününe kadar, bir sonraki yılın numara kullanım hakkı ücretlerinin ödenmesi gerekmektedir.</w:t>
      </w:r>
    </w:p>
    <w:p w:rsidR="0019703C" w:rsidRPr="00CD44C2" w:rsidRDefault="0019703C" w:rsidP="0019703C">
      <w:pPr>
        <w:pStyle w:val="ListeParagraf"/>
        <w:jc w:val="both"/>
      </w:pPr>
    </w:p>
    <w:p w:rsidR="00717DEF" w:rsidRPr="00273283" w:rsidRDefault="00717DEF" w:rsidP="00717DEF">
      <w:pPr>
        <w:pStyle w:val="ListeParagraf"/>
        <w:numPr>
          <w:ilvl w:val="0"/>
          <w:numId w:val="1"/>
        </w:numPr>
        <w:jc w:val="both"/>
        <w:rPr>
          <w:b/>
          <w:sz w:val="28"/>
          <w:szCs w:val="28"/>
        </w:rPr>
      </w:pPr>
      <w:r>
        <w:rPr>
          <w:b/>
          <w:sz w:val="28"/>
          <w:szCs w:val="28"/>
        </w:rPr>
        <w:t>Tahsisin Yapılması</w:t>
      </w:r>
    </w:p>
    <w:p w:rsidR="00152DC6" w:rsidRDefault="00496F8D" w:rsidP="00152DC6">
      <w:r w:rsidRPr="00496F8D">
        <w:t>Numara tahsis talebinin Kurum tarafından uygun görülmesi halinde numara tahsisi yapılarak, tahsis edilen numaralar başvuru sahibine bildirilir.</w:t>
      </w:r>
      <w:r>
        <w:t xml:space="preserve"> Ayrıca tahsis edilen numaralar Kurum internet sitesinde yayınlanır.</w:t>
      </w:r>
      <w:r w:rsidR="00C55626">
        <w:t xml:space="preserve"> Diğer yandan, </w:t>
      </w:r>
      <w:r w:rsidR="00C55626" w:rsidRPr="004F354E">
        <w:t xml:space="preserve">işletmecilere tahsis edilen numaralar XML formatında </w:t>
      </w:r>
      <w:r w:rsidR="00C55626">
        <w:t xml:space="preserve">NTS (Numara Taşıma </w:t>
      </w:r>
      <w:r w:rsidR="00C55626">
        <w:lastRenderedPageBreak/>
        <w:t xml:space="preserve">Sistemi) </w:t>
      </w:r>
      <w:r w:rsidR="00C55626" w:rsidRPr="004F354E">
        <w:t xml:space="preserve">ftp </w:t>
      </w:r>
      <w:r w:rsidR="00C55626">
        <w:t xml:space="preserve">altyapısı </w:t>
      </w:r>
      <w:r w:rsidR="00C55626" w:rsidRPr="004F354E">
        <w:t>üzerinden</w:t>
      </w:r>
      <w:r w:rsidR="00152DC6">
        <w:t xml:space="preserve"> sunulmaktadır. Bu bağlamda, işletmecilerin tahsis edilen numaralara doğru çağrı yönlendirmeleri noktasında kendi sistemlerindeki gerekli güncelleştirmeyi bu dosyadaki verileri esas alarak yapması gerekmektedir.</w:t>
      </w:r>
    </w:p>
    <w:p w:rsidR="00D11AC5" w:rsidRDefault="00D11AC5" w:rsidP="00496F8D">
      <w:pPr>
        <w:jc w:val="both"/>
      </w:pPr>
    </w:p>
    <w:p w:rsidR="00152DC6" w:rsidRPr="00152DC6" w:rsidRDefault="00152DC6" w:rsidP="00152DC6">
      <w:pPr>
        <w:jc w:val="both"/>
      </w:pPr>
      <w:r w:rsidRPr="001209A4">
        <w:rPr>
          <w:b/>
          <w:u w:val="single"/>
        </w:rPr>
        <w:t>ÖNEMLİ NOT</w:t>
      </w:r>
      <w:r>
        <w:rPr>
          <w:b/>
          <w:u w:val="single"/>
        </w:rPr>
        <w:t xml:space="preserve"> 1</w:t>
      </w:r>
      <w:r w:rsidRPr="001209A4">
        <w:rPr>
          <w:b/>
          <w:u w:val="single"/>
        </w:rPr>
        <w:t>:</w:t>
      </w:r>
      <w:r w:rsidRPr="00152DC6">
        <w:rPr>
          <w:b/>
        </w:rPr>
        <w:t xml:space="preserve"> </w:t>
      </w:r>
      <w:r w:rsidRPr="00152DC6">
        <w:t xml:space="preserve">Numara Taşınabilirliği Yönetmeliği’nin “Numara taşınabilirliği sağlama yükümlülüğü” başlıklı 16. maddesinin birinci fıkrasında </w:t>
      </w:r>
      <w:r w:rsidRPr="00152DC6">
        <w:rPr>
          <w:i/>
        </w:rPr>
        <w:t xml:space="preserve">“6 </w:t>
      </w:r>
      <w:proofErr w:type="spellStart"/>
      <w:r w:rsidRPr="00152DC6">
        <w:rPr>
          <w:i/>
        </w:rPr>
        <w:t>ncı</w:t>
      </w:r>
      <w:proofErr w:type="spellEnd"/>
      <w:r w:rsidRPr="00152DC6">
        <w:rPr>
          <w:i/>
        </w:rPr>
        <w:t xml:space="preserve"> maddenin birinci fıkrasında yer alan numara kaynaklarından herhangi biri tahsis edilen ve bu numaraları abonelerine tahsis eden işletmeciler, bu Yönetmelik hükümlerine göre işletmeci numara taşınabilirliğini sağlamakla yükümlüdür.</w:t>
      </w:r>
      <w:r>
        <w:rPr>
          <w:i/>
        </w:rPr>
        <w:t xml:space="preserve">” </w:t>
      </w:r>
      <w:r w:rsidRPr="00152DC6">
        <w:t xml:space="preserve">hükmü yer almaktadır. </w:t>
      </w:r>
      <w:r>
        <w:t xml:space="preserve"> Bu hüküm kapsamında, kendilerine coğrafi numara, coğrafi olmayan numara ve mobil numara tahsis edilen ve bu numaraları abonelerine tahsis eden işletmeciler numara taşınabilirliğini sağlamakla yükümlüdür. </w:t>
      </w:r>
    </w:p>
    <w:p w:rsidR="00152DC6" w:rsidRDefault="00152DC6" w:rsidP="00496F8D">
      <w:pPr>
        <w:jc w:val="both"/>
      </w:pPr>
    </w:p>
    <w:p w:rsidR="00D11AC5" w:rsidRDefault="00D11AC5" w:rsidP="002F1D2D">
      <w:pPr>
        <w:rPr>
          <w:b/>
          <w:sz w:val="28"/>
          <w:szCs w:val="28"/>
        </w:rPr>
      </w:pPr>
      <w:r w:rsidRPr="00D11AC5">
        <w:rPr>
          <w:b/>
          <w:sz w:val="28"/>
          <w:szCs w:val="28"/>
        </w:rPr>
        <w:t>Formların ve diğer bilgilerin yer aldığı linkler:</w:t>
      </w:r>
    </w:p>
    <w:p w:rsidR="00C55626" w:rsidRDefault="00C55626" w:rsidP="00496F8D">
      <w:pPr>
        <w:jc w:val="both"/>
        <w:rPr>
          <w:b/>
        </w:rPr>
      </w:pPr>
      <w:r w:rsidRPr="00C55626">
        <w:rPr>
          <w:b/>
        </w:rPr>
        <w:t>Elektronik Haberleşme Şebekelerinde kullanılan numaralar İçin Tahsis Başvuru Formu</w:t>
      </w:r>
      <w:r>
        <w:rPr>
          <w:b/>
        </w:rPr>
        <w:t>:</w:t>
      </w:r>
    </w:p>
    <w:p w:rsidR="0006428F" w:rsidRPr="00A34B9F" w:rsidRDefault="0006428F" w:rsidP="00496F8D">
      <w:pPr>
        <w:jc w:val="both"/>
        <w:rPr>
          <w:rStyle w:val="Kpr"/>
          <w:sz w:val="18"/>
        </w:rPr>
      </w:pPr>
      <w:hyperlink r:id="rId14" w:history="1">
        <w:r w:rsidRPr="00A34B9F">
          <w:rPr>
            <w:rStyle w:val="Kpr"/>
            <w:sz w:val="18"/>
          </w:rPr>
          <w:t>https://www.btk.gov.tr/uploads/pages/slug/27-haziran-2009-cumartesi.pdf</w:t>
        </w:r>
      </w:hyperlink>
    </w:p>
    <w:p w:rsidR="00D11AC5" w:rsidRPr="00D11AC5" w:rsidRDefault="00D11AC5" w:rsidP="00496F8D">
      <w:pPr>
        <w:jc w:val="both"/>
        <w:rPr>
          <w:b/>
        </w:rPr>
      </w:pPr>
      <w:r w:rsidRPr="00D11AC5">
        <w:rPr>
          <w:b/>
        </w:rPr>
        <w:t>Numaralandırma Yönetmeliği:</w:t>
      </w:r>
    </w:p>
    <w:p w:rsidR="003252E8" w:rsidRPr="00C9544D" w:rsidRDefault="007842C7" w:rsidP="008B1B76">
      <w:pPr>
        <w:jc w:val="both"/>
        <w:rPr>
          <w:rStyle w:val="Kpr"/>
          <w:sz w:val="18"/>
        </w:rPr>
      </w:pPr>
      <w:hyperlink r:id="rId15" w:history="1">
        <w:r w:rsidR="003252E8" w:rsidRPr="00C9544D">
          <w:rPr>
            <w:rStyle w:val="Kpr"/>
            <w:sz w:val="18"/>
          </w:rPr>
          <w:t>http://www.mevzuat.gov.tr/Metin.Aspx?MevzuatKod=7.5.13171&amp;MevzuatIliski=0&amp;sourceXmlSearch=Numaraland%C4%B1rma%20Y%C3%B6netmeli%C4%9Fi</w:t>
        </w:r>
      </w:hyperlink>
    </w:p>
    <w:p w:rsidR="008B1B76" w:rsidRPr="00D11AC5" w:rsidRDefault="008B1B76" w:rsidP="008B1B76">
      <w:pPr>
        <w:jc w:val="both"/>
        <w:rPr>
          <w:b/>
        </w:rPr>
      </w:pPr>
      <w:r w:rsidRPr="00D11AC5">
        <w:rPr>
          <w:b/>
        </w:rPr>
        <w:t>Numara</w:t>
      </w:r>
      <w:r>
        <w:rPr>
          <w:b/>
        </w:rPr>
        <w:t xml:space="preserve"> Taşınabilirliği </w:t>
      </w:r>
      <w:r w:rsidRPr="00D11AC5">
        <w:rPr>
          <w:b/>
        </w:rPr>
        <w:t>Yönetmeliği:</w:t>
      </w:r>
    </w:p>
    <w:p w:rsidR="003252E8" w:rsidRDefault="007842C7" w:rsidP="00496F8D">
      <w:pPr>
        <w:jc w:val="both"/>
        <w:rPr>
          <w:rStyle w:val="Kpr"/>
          <w:sz w:val="18"/>
          <w:szCs w:val="18"/>
        </w:rPr>
      </w:pPr>
      <w:hyperlink r:id="rId16" w:history="1">
        <w:r w:rsidR="003252E8" w:rsidRPr="00C539F2">
          <w:rPr>
            <w:rStyle w:val="Kpr"/>
            <w:sz w:val="18"/>
            <w:szCs w:val="18"/>
          </w:rPr>
          <w:t>http://www.mevzuat.gov.tr/Metin.Aspx?MevzuatKod=7.5.13180&amp;MevzuatIliski=0&amp;sourceXmlSearch=Numara%20Ta%C5%9F%C4%B1nabilirli%C4%9Fi%20Y%C3%B6netmeli%C4%9Fi</w:t>
        </w:r>
      </w:hyperlink>
    </w:p>
    <w:p w:rsidR="00D11AC5" w:rsidRPr="00B12A5D" w:rsidRDefault="00133F41" w:rsidP="00496F8D">
      <w:pPr>
        <w:jc w:val="both"/>
        <w:rPr>
          <w:b/>
        </w:rPr>
      </w:pPr>
      <w:r w:rsidRPr="00B12A5D">
        <w:rPr>
          <w:b/>
        </w:rPr>
        <w:t xml:space="preserve">Numara </w:t>
      </w:r>
      <w:r w:rsidR="00B12A5D" w:rsidRPr="00B12A5D">
        <w:rPr>
          <w:b/>
        </w:rPr>
        <w:t xml:space="preserve">Kullanım Hakkı </w:t>
      </w:r>
      <w:r w:rsidRPr="00B12A5D">
        <w:rPr>
          <w:b/>
        </w:rPr>
        <w:t>Ücretleri</w:t>
      </w:r>
      <w:r w:rsidR="00C26C9A">
        <w:rPr>
          <w:b/>
        </w:rPr>
        <w:t>:</w:t>
      </w:r>
    </w:p>
    <w:p w:rsidR="0006428F" w:rsidRPr="00A34B9F" w:rsidRDefault="0006428F" w:rsidP="00496F8D">
      <w:pPr>
        <w:jc w:val="both"/>
        <w:rPr>
          <w:rStyle w:val="Kpr"/>
          <w:sz w:val="18"/>
        </w:rPr>
      </w:pPr>
      <w:hyperlink r:id="rId17" w:history="1">
        <w:r w:rsidRPr="00A34B9F">
          <w:rPr>
            <w:rStyle w:val="Kpr"/>
            <w:sz w:val="18"/>
          </w:rPr>
          <w:t>https://www.btk.gov.tr/2018-yili-numara-kullanim-hakki-ucretleri</w:t>
        </w:r>
      </w:hyperlink>
    </w:p>
    <w:sectPr w:rsidR="0006428F" w:rsidRPr="00A34B9F" w:rsidSect="00A43A7C">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2C7" w:rsidRDefault="007842C7" w:rsidP="00F96476">
      <w:pPr>
        <w:spacing w:after="0" w:line="240" w:lineRule="auto"/>
      </w:pPr>
      <w:r>
        <w:separator/>
      </w:r>
    </w:p>
  </w:endnote>
  <w:endnote w:type="continuationSeparator" w:id="0">
    <w:p w:rsidR="007842C7" w:rsidRDefault="007842C7" w:rsidP="00F9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2324"/>
      <w:docPartObj>
        <w:docPartGallery w:val="Page Numbers (Bottom of Page)"/>
        <w:docPartUnique/>
      </w:docPartObj>
    </w:sdtPr>
    <w:sdtEndPr/>
    <w:sdtContent>
      <w:p w:rsidR="00501418" w:rsidRDefault="00270484">
        <w:pPr>
          <w:pStyle w:val="AltBilgi"/>
          <w:jc w:val="right"/>
        </w:pPr>
        <w:r>
          <w:fldChar w:fldCharType="begin"/>
        </w:r>
        <w:r>
          <w:instrText xml:space="preserve"> PAGE   \* MERGEFORMAT </w:instrText>
        </w:r>
        <w:r>
          <w:fldChar w:fldCharType="separate"/>
        </w:r>
        <w:r w:rsidR="009A2EDA">
          <w:rPr>
            <w:noProof/>
          </w:rPr>
          <w:t>4</w:t>
        </w:r>
        <w:r>
          <w:rPr>
            <w:noProof/>
          </w:rPr>
          <w:fldChar w:fldCharType="end"/>
        </w:r>
      </w:p>
    </w:sdtContent>
  </w:sdt>
  <w:p w:rsidR="00501418" w:rsidRDefault="0050141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2C7" w:rsidRDefault="007842C7" w:rsidP="00F96476">
      <w:pPr>
        <w:spacing w:after="0" w:line="240" w:lineRule="auto"/>
      </w:pPr>
      <w:r>
        <w:separator/>
      </w:r>
    </w:p>
  </w:footnote>
  <w:footnote w:type="continuationSeparator" w:id="0">
    <w:p w:rsidR="007842C7" w:rsidRDefault="007842C7" w:rsidP="00F96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467"/>
    <w:multiLevelType w:val="hybridMultilevel"/>
    <w:tmpl w:val="A420CAEC"/>
    <w:lvl w:ilvl="0" w:tplc="0B1E02D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1C3624"/>
    <w:multiLevelType w:val="hybridMultilevel"/>
    <w:tmpl w:val="8DB03A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CD1D97"/>
    <w:multiLevelType w:val="hybridMultilevel"/>
    <w:tmpl w:val="B150D2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80663D0"/>
    <w:multiLevelType w:val="hybridMultilevel"/>
    <w:tmpl w:val="8DB03A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40119E"/>
    <w:multiLevelType w:val="hybridMultilevel"/>
    <w:tmpl w:val="41C6AE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5F1CA5"/>
    <w:multiLevelType w:val="hybridMultilevel"/>
    <w:tmpl w:val="E1EA856A"/>
    <w:lvl w:ilvl="0" w:tplc="7A50CB2C">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F26EDF"/>
    <w:multiLevelType w:val="hybridMultilevel"/>
    <w:tmpl w:val="A420CAEC"/>
    <w:lvl w:ilvl="0" w:tplc="0B1E02D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C39181B"/>
    <w:multiLevelType w:val="hybridMultilevel"/>
    <w:tmpl w:val="EF7A9BE8"/>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A0"/>
    <w:rsid w:val="000405AE"/>
    <w:rsid w:val="00041C68"/>
    <w:rsid w:val="00056A4E"/>
    <w:rsid w:val="0006428F"/>
    <w:rsid w:val="001209A4"/>
    <w:rsid w:val="00133F41"/>
    <w:rsid w:val="00150997"/>
    <w:rsid w:val="00152DC6"/>
    <w:rsid w:val="0019102B"/>
    <w:rsid w:val="0019703C"/>
    <w:rsid w:val="001B369F"/>
    <w:rsid w:val="00200682"/>
    <w:rsid w:val="00200B08"/>
    <w:rsid w:val="00206B8E"/>
    <w:rsid w:val="002247A3"/>
    <w:rsid w:val="00245F2F"/>
    <w:rsid w:val="0026628F"/>
    <w:rsid w:val="00270484"/>
    <w:rsid w:val="00273283"/>
    <w:rsid w:val="002C3CC6"/>
    <w:rsid w:val="002D65FF"/>
    <w:rsid w:val="002F0F02"/>
    <w:rsid w:val="002F1D2D"/>
    <w:rsid w:val="002F433B"/>
    <w:rsid w:val="002F4AC0"/>
    <w:rsid w:val="00313D71"/>
    <w:rsid w:val="003252E8"/>
    <w:rsid w:val="003A4A41"/>
    <w:rsid w:val="004334AE"/>
    <w:rsid w:val="004639A9"/>
    <w:rsid w:val="00496F8D"/>
    <w:rsid w:val="004A1451"/>
    <w:rsid w:val="00501418"/>
    <w:rsid w:val="0051691F"/>
    <w:rsid w:val="00602F76"/>
    <w:rsid w:val="006033FF"/>
    <w:rsid w:val="00606085"/>
    <w:rsid w:val="006C4F6B"/>
    <w:rsid w:val="006D5171"/>
    <w:rsid w:val="006F22C8"/>
    <w:rsid w:val="00707A33"/>
    <w:rsid w:val="00717DEF"/>
    <w:rsid w:val="007730D7"/>
    <w:rsid w:val="007842C7"/>
    <w:rsid w:val="0079621E"/>
    <w:rsid w:val="007B0101"/>
    <w:rsid w:val="007B3510"/>
    <w:rsid w:val="007F6383"/>
    <w:rsid w:val="0083059B"/>
    <w:rsid w:val="0084144D"/>
    <w:rsid w:val="008430AF"/>
    <w:rsid w:val="008642A6"/>
    <w:rsid w:val="00871E68"/>
    <w:rsid w:val="00886B51"/>
    <w:rsid w:val="008A0745"/>
    <w:rsid w:val="008A1F4D"/>
    <w:rsid w:val="008B1B76"/>
    <w:rsid w:val="008B2567"/>
    <w:rsid w:val="008E38E8"/>
    <w:rsid w:val="008E5907"/>
    <w:rsid w:val="008F0ACD"/>
    <w:rsid w:val="009001DA"/>
    <w:rsid w:val="00914B54"/>
    <w:rsid w:val="00927842"/>
    <w:rsid w:val="0094471D"/>
    <w:rsid w:val="0094671D"/>
    <w:rsid w:val="00951BC9"/>
    <w:rsid w:val="00952E64"/>
    <w:rsid w:val="009604FF"/>
    <w:rsid w:val="009A2EDA"/>
    <w:rsid w:val="009E7138"/>
    <w:rsid w:val="009F12F9"/>
    <w:rsid w:val="00A03FDC"/>
    <w:rsid w:val="00A34B9F"/>
    <w:rsid w:val="00A43A7C"/>
    <w:rsid w:val="00B12A5D"/>
    <w:rsid w:val="00B22810"/>
    <w:rsid w:val="00B40979"/>
    <w:rsid w:val="00B849B8"/>
    <w:rsid w:val="00BA250C"/>
    <w:rsid w:val="00BB41A0"/>
    <w:rsid w:val="00BE72BE"/>
    <w:rsid w:val="00C25972"/>
    <w:rsid w:val="00C26C9A"/>
    <w:rsid w:val="00C55626"/>
    <w:rsid w:val="00C64370"/>
    <w:rsid w:val="00C9544D"/>
    <w:rsid w:val="00CD44C2"/>
    <w:rsid w:val="00D11AC5"/>
    <w:rsid w:val="00D300B1"/>
    <w:rsid w:val="00D5550A"/>
    <w:rsid w:val="00D5566D"/>
    <w:rsid w:val="00DA35BC"/>
    <w:rsid w:val="00DA7DD7"/>
    <w:rsid w:val="00DC142A"/>
    <w:rsid w:val="00DE4241"/>
    <w:rsid w:val="00E32CDE"/>
    <w:rsid w:val="00EB658B"/>
    <w:rsid w:val="00EC78A0"/>
    <w:rsid w:val="00EE562B"/>
    <w:rsid w:val="00F2096E"/>
    <w:rsid w:val="00F242F6"/>
    <w:rsid w:val="00F26172"/>
    <w:rsid w:val="00F33BD1"/>
    <w:rsid w:val="00F535EB"/>
    <w:rsid w:val="00F96476"/>
    <w:rsid w:val="00FC3E62"/>
    <w:rsid w:val="00FE78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19E8"/>
  <w15:docId w15:val="{B081CAE8-60BC-4A78-A034-7A7F8A01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C78A0"/>
    <w:pPr>
      <w:ind w:left="720"/>
      <w:contextualSpacing/>
    </w:pPr>
  </w:style>
  <w:style w:type="character" w:styleId="Kpr">
    <w:name w:val="Hyperlink"/>
    <w:basedOn w:val="VarsaylanParagrafYazTipi"/>
    <w:uiPriority w:val="99"/>
    <w:unhideWhenUsed/>
    <w:rsid w:val="00D11AC5"/>
    <w:rPr>
      <w:color w:val="0000FF" w:themeColor="hyperlink"/>
      <w:u w:val="single"/>
    </w:rPr>
  </w:style>
  <w:style w:type="paragraph" w:styleId="stBilgi">
    <w:name w:val="header"/>
    <w:basedOn w:val="Normal"/>
    <w:link w:val="stBilgiChar"/>
    <w:uiPriority w:val="99"/>
    <w:unhideWhenUsed/>
    <w:rsid w:val="00F964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6476"/>
  </w:style>
  <w:style w:type="paragraph" w:styleId="AltBilgi">
    <w:name w:val="footer"/>
    <w:basedOn w:val="Normal"/>
    <w:link w:val="AltBilgiChar"/>
    <w:uiPriority w:val="99"/>
    <w:unhideWhenUsed/>
    <w:rsid w:val="00F964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6476"/>
  </w:style>
  <w:style w:type="character" w:styleId="zlenenKpr">
    <w:name w:val="FollowedHyperlink"/>
    <w:basedOn w:val="VarsaylanParagrafYazTipi"/>
    <w:uiPriority w:val="99"/>
    <w:semiHidden/>
    <w:unhideWhenUsed/>
    <w:rsid w:val="00F242F6"/>
    <w:rPr>
      <w:color w:val="800080" w:themeColor="followedHyperlink"/>
      <w:u w:val="single"/>
    </w:rPr>
  </w:style>
  <w:style w:type="paragraph" w:styleId="BalonMetni">
    <w:name w:val="Balloon Text"/>
    <w:basedOn w:val="Normal"/>
    <w:link w:val="BalonMetniChar"/>
    <w:uiPriority w:val="99"/>
    <w:semiHidden/>
    <w:unhideWhenUsed/>
    <w:rsid w:val="00707A3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7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053">
      <w:bodyDiv w:val="1"/>
      <w:marLeft w:val="0"/>
      <w:marRight w:val="0"/>
      <w:marTop w:val="0"/>
      <w:marBottom w:val="0"/>
      <w:divBdr>
        <w:top w:val="none" w:sz="0" w:space="0" w:color="auto"/>
        <w:left w:val="none" w:sz="0" w:space="0" w:color="auto"/>
        <w:bottom w:val="none" w:sz="0" w:space="0" w:color="auto"/>
        <w:right w:val="none" w:sz="0" w:space="0" w:color="auto"/>
      </w:divBdr>
    </w:div>
    <w:div w:id="333580061">
      <w:bodyDiv w:val="1"/>
      <w:marLeft w:val="0"/>
      <w:marRight w:val="0"/>
      <w:marTop w:val="0"/>
      <w:marBottom w:val="0"/>
      <w:divBdr>
        <w:top w:val="none" w:sz="0" w:space="0" w:color="auto"/>
        <w:left w:val="none" w:sz="0" w:space="0" w:color="auto"/>
        <w:bottom w:val="none" w:sz="0" w:space="0" w:color="auto"/>
        <w:right w:val="none" w:sz="0" w:space="0" w:color="auto"/>
      </w:divBdr>
      <w:divsChild>
        <w:div w:id="1887988106">
          <w:marLeft w:val="0"/>
          <w:marRight w:val="0"/>
          <w:marTop w:val="0"/>
          <w:marBottom w:val="0"/>
          <w:divBdr>
            <w:top w:val="none" w:sz="0" w:space="0" w:color="auto"/>
            <w:left w:val="none" w:sz="0" w:space="0" w:color="auto"/>
            <w:bottom w:val="none" w:sz="0" w:space="0" w:color="auto"/>
            <w:right w:val="none" w:sz="0" w:space="0" w:color="auto"/>
          </w:divBdr>
        </w:div>
        <w:div w:id="222909907">
          <w:marLeft w:val="0"/>
          <w:marRight w:val="0"/>
          <w:marTop w:val="0"/>
          <w:marBottom w:val="0"/>
          <w:divBdr>
            <w:top w:val="none" w:sz="0" w:space="0" w:color="auto"/>
            <w:left w:val="none" w:sz="0" w:space="0" w:color="auto"/>
            <w:bottom w:val="none" w:sz="0" w:space="0" w:color="auto"/>
            <w:right w:val="none" w:sz="0" w:space="0" w:color="auto"/>
          </w:divBdr>
        </w:div>
        <w:div w:id="584342688">
          <w:marLeft w:val="0"/>
          <w:marRight w:val="0"/>
          <w:marTop w:val="0"/>
          <w:marBottom w:val="0"/>
          <w:divBdr>
            <w:top w:val="none" w:sz="0" w:space="0" w:color="auto"/>
            <w:left w:val="none" w:sz="0" w:space="0" w:color="auto"/>
            <w:bottom w:val="none" w:sz="0" w:space="0" w:color="auto"/>
            <w:right w:val="none" w:sz="0" w:space="0" w:color="auto"/>
          </w:divBdr>
        </w:div>
      </w:divsChild>
    </w:div>
    <w:div w:id="761144400">
      <w:bodyDiv w:val="1"/>
      <w:marLeft w:val="0"/>
      <w:marRight w:val="0"/>
      <w:marTop w:val="0"/>
      <w:marBottom w:val="0"/>
      <w:divBdr>
        <w:top w:val="none" w:sz="0" w:space="0" w:color="auto"/>
        <w:left w:val="none" w:sz="0" w:space="0" w:color="auto"/>
        <w:bottom w:val="none" w:sz="0" w:space="0" w:color="auto"/>
        <w:right w:val="none" w:sz="0" w:space="0" w:color="auto"/>
      </w:divBdr>
    </w:div>
    <w:div w:id="10017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tk.gov.tr/uploads/pages/slug/kullanim-hakki-formu-1.docx" TargetMode="External"/><Relationship Id="rId13" Type="http://schemas.openxmlformats.org/officeDocument/2006/relationships/hyperlink" Target="https://www.btk.gov.tr/isletmecilere-tahsisli-numarala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tk.gov.tr/uploads/pages/slug/27-haziran-2009-cumartesi.pdf" TargetMode="External"/><Relationship Id="rId17" Type="http://schemas.openxmlformats.org/officeDocument/2006/relationships/hyperlink" Target="https://www.btk.gov.tr/2018-yili-numara-kullanim-hakki-ucretleri" TargetMode="External"/><Relationship Id="rId2" Type="http://schemas.openxmlformats.org/officeDocument/2006/relationships/numbering" Target="numbering.xml"/><Relationship Id="rId16" Type="http://schemas.openxmlformats.org/officeDocument/2006/relationships/hyperlink" Target="http://www.mevzuat.gov.tr/Metin.Aspx?MevzuatKod=7.5.13180&amp;MevzuatIliski=0&amp;sourceXmlSearch=Numara%20Ta%C5%9F%C4%B1nabilirli%C4%9Fi%20Y%C3%B6netmeli%C4%9F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tk.gov.tr/uploads/pages/slug/27-haziran-2009-cumartesi.pdf" TargetMode="External"/><Relationship Id="rId5" Type="http://schemas.openxmlformats.org/officeDocument/2006/relationships/webSettings" Target="webSettings.xml"/><Relationship Id="rId15" Type="http://schemas.openxmlformats.org/officeDocument/2006/relationships/hyperlink" Target="http://www.mevzuat.gov.tr/Metin.Aspx?MevzuatKod=7.5.13171&amp;MevzuatIliski=0&amp;sourceXmlSearch=Numaraland%C4%B1rma%20Y%C3%B6netmeli%C4%9Fi" TargetMode="External"/><Relationship Id="rId10" Type="http://schemas.openxmlformats.org/officeDocument/2006/relationships/hyperlink" Target="https://www.btk.gov.tr/uploads/pages/slug/kullanim-hakki-formu-1.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tk.gov.tr/uploads/pages/slug/27-haziran-2009-cumartesi.pdf" TargetMode="External"/><Relationship Id="rId14" Type="http://schemas.openxmlformats.org/officeDocument/2006/relationships/hyperlink" Target="https://www.btk.gov.tr/uploads/pages/slug/27-haziran-2009-cumartesi.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69EA3-AF92-4B5E-AB6B-F19A95BE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1537</Words>
  <Characters>8761</Characters>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2018-05-07T13:00:00Z</dcterms:created>
  <dcterms:modified xsi:type="dcterms:W3CDTF">2018-05-07T14:56:00Z</dcterms:modified>
</cp:coreProperties>
</file>